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92.png" ContentType="image/png"/>
  <Override PartName="/word/media/rId91.png" ContentType="image/png"/>
  <Override PartName="/word/media/rId88.png" ContentType="image/png"/>
  <Override PartName="/word/media/rId87.png" ContentType="image/png"/>
  <Override PartName="/word/media/rId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30</w:t>
      </w:r>
      <w:r>
        <w:t xml:space="preserve"> </w:t>
      </w:r>
      <w:r>
        <w:t xml:space="preserve">December,</w:t>
      </w:r>
      <w:r>
        <w:t xml:space="preserve"> </w:t>
      </w:r>
      <w:r>
        <w:t xml:space="preserve">2021</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including the Northern Pikeminnow</w:t>
      </w:r>
      <w:r>
        <w:t xml:space="preserve"> </w:t>
      </w:r>
      <w:r>
        <w:rPr>
          <w:iCs/>
          <w:i/>
        </w:rPr>
        <w:t xml:space="preserve">Ptychocheilus oregonsis</w:t>
      </w:r>
      <w:r>
        <w:t xml:space="preserve">. Indeed, Northern Pikeminnow have been estimated to consume 8% of the approximately 200 million juvenile salmonids emigration through those rivers, annually. Less is known about the interaction between upstream, river-dwelling Northern Pikeminnow and their impacts on salmonid recovery above the reservoir systems. In this study, we examine predation by Northern Pikeminnow on juvenile salmonids, focusing on Chinook Salmon</w:t>
      </w:r>
      <w:r>
        <w:t xml:space="preserve"> </w:t>
      </w:r>
      <w:r>
        <w:rPr>
          <w:iCs/>
          <w:i/>
        </w:rPr>
        <w:t xml:space="preserve">Oncorhynchus tshawytscha</w:t>
      </w:r>
      <w:r>
        <w:t xml:space="preserve">, in a slow-water reach of the Salmon River, Idaho known as Deadwater Slough. The reach contains historically important overwinter rearing and spring emigration habitat for Chinook Salmon and other ESA-listed species, and was formed by the failure of a small mining dam in a reservoir in the late 19th century. We estimate the abundance of Northern Pikeminnow in Deadwater Slough during peak emigrations of Chinook salmon, and further, use a bioenergetics approach to estimate the consumption potential of the Northern Pikeminnow population to assess potential impacts to Chinook Salmon emigrants. Finally, we evaulate potential impacts to adult returns of local populations.</w:t>
      </w:r>
      <w:r>
        <w:t xml:space="preserve"> </w:t>
      </w:r>
      <w:r>
        <w:rPr>
          <w:iCs/>
          <w:i/>
          <w:bCs/>
          <w:b/>
        </w:rPr>
        <w:t xml:space="preserve">We found that… (insert concluding findings here.</w:t>
      </w:r>
      <w:r>
        <w:t xml:space="preserve"> </w:t>
      </w:r>
      <w:r>
        <w:t xml:space="preserve">It is likely that predation of juvenile Chinook Salmon in Deadwater Slough has a consequential impact on ESA-listed Chinook Salmon populations in the Upper Salmon River MPG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2"/>
    <w:bookmarkStart w:id="27"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(12 hectares), and averaging 68 m width.</w:t>
      </w:r>
    </w:p>
    <w:bookmarkEnd w:id="23"/>
    <w:bookmarkStart w:id="24"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p>
      <w:pPr>
        <w:pStyle w:val="BodyText"/>
      </w:pPr>
      <w:r>
        <w:t xml:space="preserve">Northern Pikeminnow in Deadwater Slough were not only abundant, but anglers reported that many were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quality_sized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Stock and quality size definitions vary by species. We calculated the PSD for Northern Pikeminnow in Deadwater Slough using 250 mm TL for stock-size and 380 mm TL for quality-size</w:t>
      </w:r>
      <w:r>
        <w:t xml:space="preserve"> </w:t>
      </w:r>
      <w:r>
        <w:t xml:space="preserve">(Winther et al. 2020)</w:t>
      </w:r>
      <w:r>
        <w:t xml:space="preserve">.</w:t>
      </w:r>
    </w:p>
    <w:bookmarkEnd w:id="24"/>
    <w:bookmarkStart w:id="25"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5"/>
    <w:bookmarkStart w:id="26"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versus non-fish prey items (e.g., invertebrates). Therefore, we conducted nine model runs with varying proportions of fish in the diet ranging from 10-90%, in 10% increments. Energy densities for invertebrates was fixed at 3,000 J/g. Because we were unable to differentiate juvenile Chinook Salmon from other fish prey consumed, we assume all fish prey have the same energy densities as juvenile Chinook Salmon.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Chinook Salmon potentially consumed by all Northern Pikeminnow in Deadwater Slough, we multiplied the grams of fish consumed by an individual Northern Pikeminnow by the estimated predator population size during each period (fall and spring). The estimate of total biomass was converted to the total number of fish consumed each period by dividing by the average weight of DSR (10.3 g) and NRR (10.9 g) emigrants in the Upper Salmon MPG. The average weights of DSR and NRR emigrants were taken from fish caught at seven rotary screw traps located throughout the Upper Salmon MPG upstream of Deadwater Slough during the fall and spring time periods. This calculation assumes that all fish prey items consumed by Northern Pikeminnow are, on average, the same size as DSR and NRR emigrants.</w:t>
      </w:r>
    </w:p>
    <w:bookmarkEnd w:id="26"/>
    <w:bookmarkEnd w:id="27"/>
    <w:bookmarkStart w:id="31" w:name="results"/>
    <w:p>
      <w:pPr>
        <w:pStyle w:val="Heading1"/>
      </w:pPr>
      <w:r>
        <w:t xml:space="preserve">Results</w:t>
      </w:r>
    </w:p>
    <w:bookmarkStart w:id="28" w:name="northern-pikeminnow-abundance-1"/>
    <w:p>
      <w:pPr>
        <w:pStyle w:val="Heading2"/>
      </w:pPr>
      <w:r>
        <w:t xml:space="preserve">Northern Pikeminnow Abundance</w:t>
      </w:r>
    </w:p>
    <w:p>
      <w:pPr>
        <w:pStyle w:val="FirstParagraph"/>
      </w:pPr>
      <w:r>
        <w:t xml:space="preserve">Using hook-and-line angling, we caught 664, 803, and 202 Northern Pikeminnow during the fall 2019, fall 2020, and spring 2021 efforts, respectively, for a total of 1,669 fish.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There were an additional six recaptures in fall 2020 consisting of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larger than the single census estimators. Confidence intervals for the fall 2020 effort were more varied, likely resulting from fewer recaptures in that year.</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and required a small sample size modification, we used the Schnabel estimates of abundance for further analyses and results. Accordingly, the mean of Northern Pikeminnow abundance for the two fall sampling events was 28,144 (95% CI: 14,378 - 59,978). By multiplying the ratio (0.53) between the spring CPUE (0.81) and mean of the fall CPUEs (1.54), we estimated there to be 14,897 (95% CI: 7,610 - 31,747) Northern Pikeminnow in Deadwater Slough during spring 2021.</w:t>
      </w:r>
    </w:p>
    <w:p>
      <w:pPr>
        <w:pStyle w:val="BodyText"/>
      </w:pPr>
      <w:r>
        <w:t xml:space="preserve">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End w:id="28"/>
    <w:bookmarkStart w:id="29" w:name="gastric-lavage-1"/>
    <w:p>
      <w:pPr>
        <w:pStyle w:val="Heading2"/>
      </w:pPr>
      <w:r>
        <w:t xml:space="preserve">Gastric Lavage</w:t>
      </w:r>
    </w:p>
    <w:p>
      <w:pPr>
        <w:pStyle w:val="FirstParagraph"/>
      </w:pPr>
      <w:r>
        <w:t xml:space="preserve">We examined the stomach contents of Northern Pikeminnow from Deadwater Slough using gastric lavage. To validate the efficacy of the method, we euthanized 75 Northern Pikeminnow after gastric lavage was completed and removed the remaining food items via dissection. We found that gastric lavage successfully removed food items in all dissected individual, indicating the method was effective. Of the 1,564 Northern Pikeminnow sampled using gastric lavage, we found contents in some form in 350 (22.4%) stomachs and confirmed fish or fish parts in 44 (12.6%) of those. Northern Pikeminnow captured during the spring 2021 effort had a higher proportion of diets with fish contents (6.7%) than fish captured in the fall 2019 (1.8%) and fall 2020 (3.1%) (Table</w:t>
      </w:r>
      <w:r>
        <w:t xml:space="preserve"> </w:t>
      </w:r>
      <w:r>
        <w:t xml:space="preserve">4</w:t>
      </w:r>
      <w:r>
        <w:t xml:space="preserve">). For those individuals with stomach contents, the average wet weight of total contents was 0.98 g (median = 0.25 g; range = 0.01-17.39 g). Overall, fish or fish remnants were 11.7% of the overall stomach contents examined.</w:t>
      </w:r>
    </w:p>
    <w:bookmarkEnd w:id="29"/>
    <w:bookmarkStart w:id="30" w:name="bioenergetics-1"/>
    <w:p>
      <w:pPr>
        <w:pStyle w:val="Heading2"/>
      </w:pPr>
      <w:r>
        <w:t xml:space="preserve">Bioenergetics</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22.39 - 49.74 g) of fish during the NRR emigration (Figure</w:t>
      </w:r>
      <w:r>
        <w:t xml:space="preserve"> </w:t>
      </w:r>
      <w:r>
        <w:t xml:space="preserve">5</w:t>
      </w:r>
      <w:r>
        <w:t xml:space="preserve">). Given an average weight of 10.3 g for DSR emigrants, that would equate to 4.39 (range 2.22 - 4.93) fish consumed by an individual during fall and an additional 4.06 (range 2.05 - 4.56) fish consumed using an average weight of 10.9 g for NRR emigrants.</w:t>
      </w:r>
    </w:p>
    <w:p>
      <w:pPr>
        <w:pStyle w:val="BodyText"/>
      </w:pPr>
      <w:r>
        <w:t xml:space="preserve">Given a mean Northern Pikeminnow population size of 28,144 from fall estimates and an estimate of 14,897 for spring 2021 and using the median value from diet scenarios (i.e, 50% of their diet consists of fish), we’d estimate that Northern Pikeminnow can consume 123,588 (95% CI: 62,409 - 138,616) fish during the DSR emigration and 60,531 (95% CI: 30,600 - 67,980) fish during the NRR emigration in Deadwater Slough. Table</w:t>
      </w:r>
      <w:r>
        <w:t xml:space="preserve"> </w:t>
      </w:r>
      <w:r>
        <w:t xml:space="preserve">5</w:t>
      </w:r>
      <w:r>
        <w:t xml:space="preserve"> </w:t>
      </w:r>
      <w:r>
        <w:t xml:space="preserve">shows the estimated number of fish consumed by an individual Northern Pikeminnow and by the population across all diet scenarios during both the fall (DSR) and spring (NRR) peak emigration seasons.</w:t>
      </w:r>
    </w:p>
    <w:p>
      <w:pPr>
        <w:pStyle w:val="BodyText"/>
      </w:pPr>
      <w:r>
        <w:t xml:space="preserve">Across both seasons and all diet scenarios, we estimated the total number of fish consumed to be between 93,009 and 206,596 (Table</w:t>
      </w:r>
      <w:r>
        <w:t xml:space="preserve"> </w:t>
      </w:r>
      <w:r>
        <w:t xml:space="preserve">5</w:t>
      </w:r>
      <w:r>
        <w:t xml:space="preserve">). The estimated number of fish consumed by a Northern Pikeminnow begins to taper off between the 30-90% diet scenarios. So although we are uncertain of the diet proportions consisting of fish versus invertebrates, the impact of that uncertainty is somewhat constrained.</w:t>
      </w:r>
      <w:r>
        <w:t xml:space="preserve"> </w:t>
      </w:r>
    </w:p>
    <w:bookmarkEnd w:id="30"/>
    <w:bookmarkEnd w:id="31"/>
    <w:bookmarkStart w:id="41" w:name="discussion"/>
    <w:p>
      <w:pPr>
        <w:pStyle w:val="Heading1"/>
      </w:pPr>
      <w:r>
        <w:t xml:space="preserve">Discussion</w:t>
      </w:r>
    </w:p>
    <w:p>
      <w:pPr>
        <w:pStyle w:val="FirstParagraph"/>
      </w:pPr>
      <w:r>
        <w:t xml:space="preserve">The mean population size of Northern Pikeminnow in the Deadwater Slough during the fall season was estimated to be 28,144 and during the spring 2021 to be 14,897. Those estimates translate to linear densities of 15,042 and 7,962 which is 22 and 11 times greater, respectively,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Although estimated densities for Deadwater Slough are high given the relative size (volume) of the Salmon River at the slough relative to the Columbia River, high CPUE combined with low recapture rates (one in every 119 fish were recaptures) suggest this area may support exceptionally high predator densities. Further,</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Conversely, at Deadwater Slough the maximum depth was approsimately 10-15 m with a relatively homogenous bottom contour, making angling an effective method throughout the entire reach. Our estimates of Northern Pikeminnow areal density are also higher than those reported elsewhere in the Columbia River basin. We estimate the density of Northern Pikeminnow in Deadwater Slough, as fish per hectare, to be 2,357 for fall and 1,247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 Given the dearth of current data available in the Columbia River basin, it is unclear how Northern Pikeminnow abundance estimates in this study compare to elsewhere in the Columbia River Basin.</w:t>
      </w:r>
      <w:r>
        <w:t xml:space="preserve"> </w:t>
      </w:r>
      <w:r>
        <w:t xml:space="preserve">Widener et al. (2021)</w:t>
      </w:r>
      <w:r>
        <w:t xml:space="preserve"> </w:t>
      </w:r>
      <w:r>
        <w:t xml:space="preserve">has identified a need for more current information on piscine predator populations in the Columbia River.</w:t>
      </w:r>
    </w:p>
    <w:bookmarkStart w:id="32" w:name="mark-recapture-model"/>
    <w:p>
      <w:pPr>
        <w:pStyle w:val="Heading2"/>
      </w:pPr>
      <w:r>
        <w:t xml:space="preserve">Mark-Recapture Model</w:t>
      </w:r>
    </w:p>
    <w:p>
      <w:pPr>
        <w:pStyle w:val="FirstParagraph"/>
      </w:pPr>
      <w:r>
        <w:t xml:space="preserve">All mark-recapture abundance estimators suggest a large number of Northern Pikeminnow occupying Deadwater Slough. Several assumptions in our estimators may have influenced the magnitude of our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limited length of the sampling period (two weeks), that assumption is likely met. The assumption of a closed population can also affect results if mortality occurs for some marked fish released back to the population. During our field processing, we did not observe mortalities or injury post release; however, the potential for mortality amongst marked and released fish cannot be discounted. Next, our estimates assumed that the second (and subsequent) sample(s) are random samples of the population. Yet, angling methods may have a size selection bias, thereby limiting our abundance estimates to a size threshold susceptible to angling. We also consider the validity of our assumption of equal catchability of individual fish between sampling events to have introduced potential bias in our results. Unequal catchability for individual fish is difficult to assess, especially if being caught once influences the likelihood of recapture. During our study, we recaptured two individual fish during multiple surveys indicting that marked fish were still susceptible to angling.</w:t>
      </w:r>
      <w:r>
        <w:t xml:space="preserve"> </w:t>
      </w:r>
      <w:r>
        <w:t xml:space="preserve">We also recognize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If marked fish were not recently released or mixed back into those areas that would make marked fish less susceptible to capture. Violations of the assumption of equal catchability between marked and unmarked fish may lead to an overestimate of abundance of Northern Pikeminnow in our study if marked fish have lower catchability.</w:t>
      </w:r>
    </w:p>
    <w:p>
      <w:pPr>
        <w:pStyle w:val="BodyText"/>
      </w:pPr>
      <w:r>
        <w:t xml:space="preserve">The spring abundance estimate was smaller than fall abundance estimates. Our approach assumed equal capture probabilities between the fall and spring sample efforts. Yet, we suspect that the capture probability in the spring could be lower as higher spring flows reduce Northern Pikeminnow densities biasing our spring abundance estimate low. Therefore, we believe our spring abundance estimate to be conservative.</w:t>
      </w:r>
    </w:p>
    <w:bookmarkEnd w:id="32"/>
    <w:bookmarkStart w:id="33" w:name="gastric-lavage-2"/>
    <w:p>
      <w:pPr>
        <w:pStyle w:val="Heading2"/>
      </w:pPr>
      <w:r>
        <w:t xml:space="preserve">Gastric Lavage</w:t>
      </w:r>
    </w:p>
    <w:p>
      <w:pPr>
        <w:pStyle w:val="FirstParagraph"/>
      </w:pPr>
      <w:r>
        <w:t xml:space="preserve">We performed gastric lavage on nearly all Northern Pikeminnow collected during this study. In addition to juvenile Chinook Salmon, species included Redside Shiner,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although decomposition from digestion rendered many fish contents unidentifiable. While this approach provided useful information on prey species, we have concerns about using angling and gastric lavage to quantify diet composition in Northern Pikeminnow. First, previous studies have indicated that diets of angled fish differ from those collected by other methods (e.g., electrofishing,</w:t>
      </w:r>
      <w:r>
        <w:t xml:space="preserve"> </w:t>
      </w:r>
      <w:r>
        <w:t xml:space="preserve">(</w:t>
      </w:r>
      <w:r>
        <w:rPr>
          <w:bCs/>
          <w:b/>
        </w:rPr>
        <w:t xml:space="preserve">Hodgson1998?</w:t>
      </w:r>
      <w:r>
        <w:t xml:space="preserve">)</w:t>
      </w:r>
      <w:r>
        <w:t xml:space="preserve">), and further, angled fish are more likely to have empty stomachs</w:t>
      </w:r>
      <w:r>
        <w:t xml:space="preserve"> </w:t>
      </w:r>
      <w:r>
        <w:t xml:space="preserve">(</w:t>
      </w:r>
      <w:r>
        <w:rPr>
          <w:bCs/>
          <w:b/>
        </w:rPr>
        <w:t xml:space="preserve">Jurajda2016?</w:t>
      </w:r>
      <w:r>
        <w:t xml:space="preserve">)</w:t>
      </w:r>
      <w:r>
        <w:t xml:space="preserve">, perhaps because they are hungry and actively searching for food. Second, unlike other predators such as Smallmouth Bass and Walleye that are commonly sampled using gastric lavage</w:t>
      </w:r>
      <w:r>
        <w:t xml:space="preserve"> </w:t>
      </w:r>
      <w:r>
        <w:t xml:space="preserve">(</w:t>
      </w:r>
      <w:r>
        <w:rPr>
          <w:bCs/>
          <w:b/>
        </w:rPr>
        <w:t xml:space="preserve">Kamler2001?</w:t>
      </w:r>
      <w:r>
        <w:t xml:space="preserve">)</w:t>
      </w:r>
      <w:r>
        <w:t xml:space="preserve">, Northern Pikeminnow are cyprinids and therefore lack a true stomach. Previous research indicates that performing gastric lavage on cyprinid species can be ineffective at quantifying diet composition</w:t>
      </w:r>
      <w:r>
        <w:t xml:space="preserve"> </w:t>
      </w:r>
      <w:r>
        <w:t xml:space="preserve">(</w:t>
      </w:r>
      <w:r>
        <w:rPr>
          <w:bCs/>
          <w:b/>
        </w:rPr>
        <w:t xml:space="preserve">Hartleb1995?</w:t>
      </w:r>
      <w:r>
        <w:t xml:space="preserve">)</w:t>
      </w:r>
      <w:r>
        <w:t xml:space="preserve">, or alternately, requires a modification in methodology to flush food items out the vent of the fish</w:t>
      </w:r>
      <w:r>
        <w:t xml:space="preserve"> </w:t>
      </w:r>
      <w:r>
        <w:t xml:space="preserve">(</w:t>
      </w:r>
      <w:r>
        <w:rPr>
          <w:bCs/>
          <w:b/>
        </w:rPr>
        <w:t xml:space="preserve">Wasowicz1994?</w:t>
      </w:r>
      <w:r>
        <w:t xml:space="preserve">)</w:t>
      </w:r>
      <w:r>
        <w:t xml:space="preserve">. Our intent, rather, was to simply document predation on juvenile Chinook Salmon in Deadwater Slough, and given the potential ineffectiveness of gastric lavage using angling and for Northern Pikeminnow, we consider our diet composition estimates to be conservative estimates i.e., we believe that a larger proportion of the Northern Pikeminnow diet is fish and juvenile Chinook Salmon than our results suggest.</w:t>
      </w:r>
      <w:r>
        <w:t xml:space="preserve"> </w:t>
      </w:r>
    </w:p>
    <w:bookmarkEnd w:id="33"/>
    <w:bookmarkStart w:id="34" w:name="bioenergetics-2"/>
    <w:p>
      <w:pPr>
        <w:pStyle w:val="Heading2"/>
      </w:pPr>
      <w:r>
        <w:t xml:space="preserve">Bioenergetics</w:t>
      </w:r>
    </w:p>
    <w:p>
      <w:pPr>
        <w:pStyle w:val="FirstParagraph"/>
      </w:pPr>
      <w:r>
        <w:t xml:space="preserve">An average-size Northern Pikeminnow from Deadwater Slough is estimated to consume 45.23 g (range 22.84 - 50.73 g) and 44.29 g (range 22.39 - 49.74 g) of fish during spring and fall, respectively, to maintain its body weight. This equates to 89.52 g of fish consumed during the DSR and NRR peak emigrations, assuming the median value among diet scenarios (i.e., if 50% of their diet consists of fish). Consumption ranged from 45.23 for a diet comprised of 10% fish to 100.47 for a diet comprised of 90% fish.</w:t>
      </w:r>
    </w:p>
    <w:p>
      <w:pPr>
        <w:pStyle w:val="BodyText"/>
      </w:pPr>
      <w:r>
        <w:t xml:space="preserve">Our approach assumed that all available prey consumed by Northern Pikeminnow have energy densities equal to juvenile Chinook Salmon. Other salmonid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Other studies have used a similar approach where the energy densities of different salmonids were generalized using an estimate from a single species</w:t>
      </w:r>
      <w:r>
        <w:t xml:space="preserve"> </w:t>
      </w:r>
      <w:r>
        <w:t xml:space="preserve">(</w:t>
      </w:r>
      <w:r>
        <w:rPr>
          <w:bCs/>
          <w:b/>
        </w:rPr>
        <w:t xml:space="preserve">Peterson1999?</w:t>
      </w:r>
      <w:r>
        <w:t xml:space="preserve">)</w:t>
      </w:r>
      <w:r>
        <w:t xml:space="preserve">.</w:t>
      </w:r>
      <w:r>
        <w:t xml:space="preserve"> </w:t>
      </w:r>
      <w:r>
        <w:t xml:space="preserve">However, our study is focused on potential impacts to natural-origin DSR and NRR Chinook Salmon, in which case, let’s consider a thought exercise where DSR and NRR Chinook Salmon represent only 10% and 25% of total fish prey consumed by Northern Pikemnnow during these periods. Under these scenarios, the average Northern Pikeminnow would consume 8.95 g (range 4.52 – 10.05 g) if 10% of prey were natural-origin Chinook Salmon and 22.38 g (range 11.31 – 25.12) if 25%.</w:t>
      </w:r>
    </w:p>
    <w:p>
      <w:pPr>
        <w:pStyle w:val="BodyText"/>
      </w:pPr>
      <w:r>
        <w:t xml:space="preserve">Our estimated consumption of Chinook Salmon juveniles by Northern Pikeminnow was calculated using a static predator population. If we assume an average juvenile Upper Salmon MPG Chinook Salmon of 10.6 g, this equates to 0.84 juvenile Chinook Salmon (range 0.43 – 0.94) under the 10% scenario and 2.11 juvenile Chinook Salmon (range 1.07 – 2.37) under the 25% scenario. Let’s now consider a stable Northern Pikeminnow population size of 10,000 (roughly the mean of fall and spring abundance estimates, divided by two to account for half of marked individuals not being available for recapture). In this case, the Northern Pikeminnow population in Deadwater Slough would be estimated to consume 8,400 (range 4,300 – 9,400) or 21,100 (range 10,700 – 23,700) under the 10% and 25% scenarios, respectively.</w:t>
      </w:r>
    </w:p>
    <w:bookmarkEnd w:id="34"/>
    <w:bookmarkStart w:id="35" w:name="impacts-to-adult-returns"/>
    <w:p>
      <w:pPr>
        <w:pStyle w:val="Heading2"/>
      </w:pPr>
      <w:r>
        <w:t xml:space="preserve">Impacts to Adult Returns</w:t>
      </w:r>
    </w:p>
    <w:p>
      <w:pPr>
        <w:pStyle w:val="FirstParagraph"/>
      </w:pPr>
      <w:r>
        <w:t xml:space="preserve">Our primary objective was to assess the impact of predation on juvenile Chinook Salmon in the Upper Salmon MPG. However, there is also interest in estimating the number of additional adult Chinook Salmon that might be expected to return to Lower Granite Dam if predation in the Deadwater Slough was reduced or eliminated. Our approach here was to multiply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 Assuming an SAR of 0.00614 (SE: 0.00051) we’ll consider the</w:t>
      </w:r>
      <w:r>
        <w:t xml:space="preserve"> </w:t>
      </w:r>
      <w:r>
        <w:t xml:space="preserve">“</w:t>
      </w:r>
      <w:r>
        <w:t xml:space="preserve">adult equivalents</w:t>
      </w:r>
      <w:r>
        <w:t xml:space="preserve">”</w:t>
      </w:r>
      <w:r>
        <w:t xml:space="preserve"> </w:t>
      </w:r>
      <w:r>
        <w:t xml:space="preserve">to our estimates of juveniles consumed. Under this scenario, the consumed juveniles would be equivalent to 51.6 adults (range 26.4 – 57.7) and 129.6 adults (range 65.7 – 145.6). However, we believe these 10% and 25% scenarios to be conservative, especially during the fall DSR emigration period. During spring, natural-origin steelhead and Sockeye Salmon are also actively emigrating from the Upper Salmon River and hatchery-origin releases of all three species (Chinook Salmon, steelhead, and Sockeye Salmon) are present in the river, and so 10% or 25% may be reasonable. However, during fall, DSR Chinook Salmon are likely the dominant prey species available to Chinook Salmon in Deadwater Slough as 1) no (or at least minimal) hatchery releases are present in the river and 2) fall emigrations of steelhead and Sockeye Salmon are less prominent than in Chinook Salmon. Note that this thought exercise only includes the Northern Pikeminnow population in Deadwater Slough even though they are present throughout the upper Salmon River, although likely at lower densities than in Deadwater Slough, and also ignores potential impacts to ESA-listed steelhead and Sockeye Salmon that are also a portion of the Northern Pikeminnow diet.</w:t>
      </w:r>
    </w:p>
    <w:bookmarkEnd w:id="35"/>
    <w:bookmarkStart w:id="38"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6">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to monitor movement and survival.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7">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during field efforts; Great Blue Herons were especially prevalent in the anastomizing reach immediately upriver of the slackwater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8"/>
    <w:bookmarkStart w:id="39" w:name="management-implications"/>
    <w:p>
      <w:pPr>
        <w:pStyle w:val="Heading2"/>
      </w:pPr>
      <w:r>
        <w:t xml:space="preserve">Management Implications</w:t>
      </w:r>
    </w:p>
    <w:p>
      <w:pPr>
        <w:pStyle w:val="FirstParagraph"/>
      </w:pPr>
      <w:r>
        <w:t xml:space="preserve">Recovery of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recovery of the Snake River Evolutionary Significant Unit. Spawner abundance is perhaps the most important metric considered in determining a population’s viability. We estimated that consumption of juvenile Chinook Salmon by Northern Pikeminnow in the Deadwater Slough potentially reduces natural-origin returns to upriver populations by 26.4 to 145.6 adults, annually. This is between 4.7% and 26.1% of the total mean adult escapement</w:t>
      </w:r>
      <w:r>
        <w:t xml:space="preserve"> </w:t>
      </w:r>
      <w:r>
        <w:t xml:space="preserve">reported for the Upper Salmon River MPG in 2017 - 2019</w:t>
      </w:r>
      <w:r>
        <w:t xml:space="preserve"> </w:t>
      </w:r>
      <w:r>
        <w:t xml:space="preserve">(Kinzer et al. 2020)</w:t>
      </w:r>
      <w:r>
        <w:t xml:space="preserve">. These estimates only take into account predation on juvenile Chinook Salmon by Northern Pikeminnow, but presumably, juvenile steelhead and Sockeye Salmon are also prey items in Deadwater Slough, including hatchery releases. Therefore, adult returns of steelhead and Sockeye Salmon are affected as well, including for hathchery populations which provide for recreational fishing opportunities. Consequently, reducing predation mortality at Deadwater Slough could potentially benefit multiple upriver natural and hatchery populations, including multiple ESA-listed species. Because the Deadwater Slough is part of the migratory pathway for emigrating salmonids, including for multiple species and populations, the impact of that benefit could be higher than tributary rehabilitation actions, which typically benefit a single population. Moreover, the deepened, slack water conditions that favor Northern Pikeminnow at Deadwater Slough are a result of the failure of a manmade mining reservoir dam. Taken together, the Deadwater Slough is a favorable candidate for management or restoration actions to benefit local Chinook Salmon populations.</w:t>
      </w:r>
    </w:p>
    <w:p>
      <w:pPr>
        <w:pStyle w:val="BodyText"/>
      </w:pPr>
      <w:r>
        <w:t xml:space="preserve">We envision two potential management actions at reducing predation at Deadwater Slough: 1) removing the Dump Creek alluvial fan and 2) a local Northern Pikeminnow bounty program to encourage harvest in Deadwater Slough aimed at reducing the predator population size. Both actions have evident pros and cons. Removing the Dump Creek alluvial fan has the benefit of restoring the Salmon River to a more natural flow (e.g., increased water velocity, decreased depth) and bathymetry (e.g., heterogeneous substrate) that likely existed in the reach prior to the failure of the mining reservoir dam in Dump Creek. Restoring flow would presumably reduce Northern Pikeminnow densities to levels similar to upstream and downstream reaches where recent studies identified higher survival and transition probabilities than those at Deadwater Slough (</w:t>
      </w:r>
      <w:r>
        <w:t xml:space="preserve">Axel et al. (2015)</w:t>
      </w:r>
      <w:r>
        <w:t xml:space="preserve">;</w:t>
      </w:r>
      <w:r>
        <w:t xml:space="preserve"> </w:t>
      </w:r>
      <w:r>
        <w:t xml:space="preserve">Ackerman et al. (2018)</w:t>
      </w:r>
      <w:r>
        <w:t xml:space="preserve">;</w:t>
      </w:r>
      <w:r>
        <w:t xml:space="preserve"> </w:t>
      </w:r>
      <w:r>
        <w:t xml:space="preserve">Porter et al. (2019)</w:t>
      </w:r>
      <w:r>
        <w:t xml:space="preserve">). However, we do not know the feasibility of removing or alleviating the Dump Creek alluvial fan, and if it could be removed or altered, future disturbance events could potentially move additional loose sediment in the Dump Creek drainage, thereby creating a new alluvial fan. Additionally, restoring the flow would likely diminish the value of the reach as an important bird watching and nesting area.</w:t>
      </w:r>
    </w:p>
    <w:p>
      <w:pPr>
        <w:pStyle w:val="BodyText"/>
      </w:pPr>
      <w:r>
        <w:t xml:space="preserve">Northern Pikeminnow bounty programs have proven successful at reducing population sizes and impacts on emigrating salmonids elsewhere (citation). A local bounty program in the Salmon River has the potential to boost the local economy (to an unknown degree) which has been negatively impacted by low returns of Chinook Salmon, steelhead, and Sockeye Salmon in recent decades. Many local businesses rely on license and gear sales for local sport fisheries, but low salmon and steelhead returns have eliminated or reduced the duration of fisheries in some years, and a local Northern Pikeminnow bounty program could allow the local economy to recoup some of those lost revenues. On the downside, bounty programs require continual effort and harvest to suppress the population size and so would require year of continued funding and local buy-in to remain effective. If funding or effort was alleviated, Northern Pikeminnow would likely recover to a higher population size without additional alterations to the habitat.</w:t>
      </w:r>
      <w:r>
        <w:t xml:space="preserve"> </w:t>
      </w:r>
    </w:p>
    <w:bookmarkEnd w:id="39"/>
    <w:bookmarkStart w:id="40"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an almost 2-kilometer section of unnaturally slow and deep river, resulting in favorable conditions for Northern Pikeminnow. We estimate that greater than 10,000 Northern Pikeminnow occupy Deadwater Slough with densities greater than reported elsewhere. Additionally, the slow water velocity and lack of cover have created conditions that favor predation on juvenile salmonids emigrating through Deadwater Slough including Chinook Salmon i.e., juvenile Chinook Salmon have slower movement rates and little refugia to avoid predation. We estimate that predation from Northern Pikeminnow in Deadwater Slough may reduce adult returns by as much as 146 or 26% or recent returns to the Upper Salmon River MPG. Therefore, predation in Deadwater Slough likely has a consequential impact on ESA-listed Chinook Salmon populations in the Upper Salmon MPG.</w:t>
      </w:r>
    </w:p>
    <w:bookmarkEnd w:id="40"/>
    <w:bookmarkEnd w:id="41"/>
    <w:bookmarkStart w:id="42"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Funding for this study was provided by the Bureau of Reclamation, Pacific Northwest Regional Office (contract No. 140R1021F0018) with assistance from the Idaho Governor’s Office of Species Conservation.</w:t>
      </w:r>
    </w:p>
    <w:p>
      <w:r>
        <w:br w:type="page"/>
      </w:r>
    </w:p>
    <w:bookmarkEnd w:id="42"/>
    <w:bookmarkStart w:id="83" w:name="literature-cited"/>
    <w:p>
      <w:pPr>
        <w:pStyle w:val="Heading1"/>
      </w:pPr>
      <w:r>
        <w:t xml:space="preserve">Literature Cited</w:t>
      </w:r>
    </w:p>
    <w:bookmarkStart w:id="82" w:name="refs"/>
    <w:bookmarkStart w:id="43"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3"/>
    <w:bookmarkStart w:id="44"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4"/>
    <w:bookmarkStart w:id="45"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5"/>
    <w:bookmarkStart w:id="46"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6"/>
    <w:bookmarkStart w:id="47"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7"/>
    <w:bookmarkStart w:id="48"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48"/>
    <w:bookmarkStart w:id="49"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9"/>
    <w:bookmarkStart w:id="50"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0"/>
    <w:bookmarkStart w:id="51"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1"/>
    <w:bookmarkStart w:id="52"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2"/>
    <w:bookmarkStart w:id="53"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3"/>
    <w:bookmarkStart w:id="54"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4"/>
    <w:bookmarkStart w:id="55"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5"/>
    <w:bookmarkStart w:id="56"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6"/>
    <w:bookmarkStart w:id="57"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7"/>
    <w:bookmarkStart w:id="58"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8"/>
    <w:bookmarkStart w:id="59"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59"/>
    <w:bookmarkStart w:id="60"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60"/>
    <w:bookmarkStart w:id="61"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1"/>
    <w:bookmarkStart w:id="62"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2"/>
    <w:bookmarkStart w:id="63"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3"/>
    <w:bookmarkStart w:id="64"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4"/>
    <w:bookmarkStart w:id="65"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5"/>
    <w:bookmarkStart w:id="66"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6"/>
    <w:bookmarkStart w:id="67"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7"/>
    <w:bookmarkStart w:id="68"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8"/>
    <w:bookmarkStart w:id="69"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9"/>
    <w:bookmarkStart w:id="70"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70"/>
    <w:bookmarkStart w:id="71"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1"/>
    <w:bookmarkStart w:id="72"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2"/>
    <w:bookmarkStart w:id="73"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3"/>
    <w:bookmarkStart w:id="74"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4"/>
    <w:bookmarkStart w:id="75"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5"/>
    <w:bookmarkStart w:id="76"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6"/>
    <w:bookmarkStart w:id="77"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77"/>
    <w:bookmarkStart w:id="78"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78"/>
    <w:bookmarkStart w:id="79"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9"/>
    <w:bookmarkStart w:id="80"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80"/>
    <w:bookmarkStart w:id="81"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81"/>
    <w:bookmarkEnd w:id="82"/>
    <w:p>
      <w:r>
        <w:br w:type="page"/>
      </w:r>
    </w:p>
    <w:bookmarkEnd w:id="83"/>
    <w:bookmarkStart w:id="85" w:name="tables"/>
    <w:p>
      <w:pPr>
        <w:pStyle w:val="Heading1"/>
      </w:pPr>
      <w:r>
        <w:t xml:space="preserve">Tables</w:t>
      </w:r>
    </w:p>
    <w:bookmarkStart w:id="84" w:name="tables"/>
    <w:bookmarkEnd w:id="84"/>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743</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5: Estimates of the number of fish consumed for each season and diet scenario. The diet scenario indicates the proportion of the Northern Pikeminnow diet consisting of fish. The</w:t>
      </w:r>
      <w:r>
        <w:t xml:space="preserve"> </w:t>
      </w:r>
      <w:r>
        <w:t xml:space="preserve">‘</w:t>
      </w:r>
      <w:r>
        <w:t xml:space="preserve">Fish Per NPM</w:t>
      </w:r>
      <w:r>
        <w:t xml:space="preserve">’</w:t>
      </w:r>
      <w:r>
        <w:t xml:space="preserve"> </w:t>
      </w:r>
      <w:r>
        <w:t xml:space="preserve">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w:t>
      </w:r>
      <w:r>
        <w:t xml:space="preserve"> </w:t>
      </w:r>
      <w:r>
        <w:t xml:space="preserve">‘</w:t>
      </w:r>
      <w:r>
        <w:t xml:space="preserve">adult equivalents</w:t>
      </w:r>
      <w:r>
        <w:t xml:space="preserve">’</w:t>
      </w:r>
      <w:r>
        <w:t xml:space="preserve"> </w:t>
      </w:r>
      <w:r>
        <w:t xml:space="preserve">is also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the number of fish consumed for each season and diet scenario. The diet scenario indicates the proportion of the Northern Pikeminnow diet consisting of fish. The ‘Fish Per NPM’ 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 ‘adult equivalents’ is also estimated using a Lower Granite Dam smolt-to-adult rate (SAR) for Chinook Salmon from McCann et al. 2019."/>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Season</w:t>
            </w:r>
          </w:p>
        </w:tc>
        <w:tc>
          <w:tcPr/>
          <w:p>
            <w:pPr>
              <w:pStyle w:val="Compact"/>
              <w:jc w:val="right"/>
            </w:pPr>
            <w:r>
              <w:t xml:space="preserve">p Fish</w:t>
            </w:r>
          </w:p>
        </w:tc>
        <w:tc>
          <w:tcPr/>
          <w:p>
            <w:pPr>
              <w:pStyle w:val="Compact"/>
              <w:jc w:val="right"/>
            </w:pPr>
            <w:r>
              <w:t xml:space="preserve">Fish Per NPM</w:t>
            </w:r>
          </w:p>
        </w:tc>
        <w:tc>
          <w:tcPr/>
          <w:p>
            <w:pPr>
              <w:pStyle w:val="Compact"/>
              <w:jc w:val="right"/>
            </w:pPr>
            <w:r>
              <w:t xml:space="preserve">Fish N</w:t>
            </w:r>
          </w:p>
        </w:tc>
        <w:tc>
          <w:tcPr/>
          <w:p>
            <w:pPr>
              <w:pStyle w:val="Compact"/>
              <w:jc w:val="right"/>
            </w:pPr>
            <w:r>
              <w:t xml:space="preserve">Fish L CI</w:t>
            </w:r>
          </w:p>
        </w:tc>
        <w:tc>
          <w:tcPr/>
          <w:p>
            <w:pPr>
              <w:pStyle w:val="Compact"/>
              <w:jc w:val="right"/>
            </w:pPr>
            <w:r>
              <w:t xml:space="preserve">Fish U CI</w:t>
            </w:r>
          </w:p>
        </w:tc>
        <w:tc>
          <w:tcPr/>
          <w:p>
            <w:pPr>
              <w:pStyle w:val="Compact"/>
              <w:jc w:val="right"/>
            </w:pPr>
            <w:r>
              <w:t xml:space="preserve">Median SAR</w:t>
            </w:r>
          </w:p>
        </w:tc>
        <w:tc>
          <w:tcPr/>
          <w:p>
            <w:pPr>
              <w:pStyle w:val="Compact"/>
              <w:jc w:val="right"/>
            </w:pPr>
            <w:r>
              <w:t xml:space="preserve">SD SAR</w:t>
            </w:r>
          </w:p>
        </w:tc>
        <w:tc>
          <w:tcPr/>
          <w:p>
            <w:pPr>
              <w:pStyle w:val="Compact"/>
              <w:jc w:val="right"/>
            </w:pPr>
            <w:r>
              <w:t xml:space="preserve">Adult N</w:t>
            </w:r>
          </w:p>
        </w:tc>
        <w:tc>
          <w:tcPr/>
          <w:p>
            <w:pPr>
              <w:pStyle w:val="Compact"/>
              <w:jc w:val="right"/>
            </w:pPr>
            <w:r>
              <w:t xml:space="preserve">Adult L CI</w:t>
            </w:r>
          </w:p>
        </w:tc>
        <w:tc>
          <w:tcPr/>
          <w:p>
            <w:pPr>
              <w:pStyle w:val="Compact"/>
              <w:jc w:val="right"/>
            </w:pPr>
            <w:r>
              <w:t xml:space="preserve">Adult U CI</w:t>
            </w:r>
          </w:p>
        </w:tc>
      </w:tr>
      <w:tr>
        <w:tc>
          <w:tcPr/>
          <w:p>
            <w:pPr>
              <w:pStyle w:val="Compact"/>
              <w:jc w:val="left"/>
            </w:pPr>
            <w:r>
              <w:t xml:space="preserve">Fall</w:t>
            </w:r>
          </w:p>
        </w:tc>
        <w:tc>
          <w:tcPr/>
          <w:p>
            <w:pPr>
              <w:pStyle w:val="Compact"/>
              <w:jc w:val="right"/>
            </w:pPr>
            <w:r>
              <w:t xml:space="preserve">10</w:t>
            </w:r>
          </w:p>
        </w:tc>
        <w:tc>
          <w:tcPr/>
          <w:p>
            <w:pPr>
              <w:pStyle w:val="Compact"/>
              <w:jc w:val="right"/>
            </w:pPr>
            <w:r>
              <w:t xml:space="preserve">2.22</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Fall</w:t>
            </w:r>
          </w:p>
        </w:tc>
        <w:tc>
          <w:tcPr/>
          <w:p>
            <w:pPr>
              <w:pStyle w:val="Compact"/>
              <w:jc w:val="right"/>
            </w:pPr>
            <w:r>
              <w:t xml:space="preserve">20</w:t>
            </w:r>
          </w:p>
        </w:tc>
        <w:tc>
          <w:tcPr/>
          <w:p>
            <w:pPr>
              <w:pStyle w:val="Compact"/>
              <w:jc w:val="right"/>
            </w:pPr>
            <w:r>
              <w:t xml:space="preserve">3.22</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Fall</w:t>
            </w:r>
          </w:p>
        </w:tc>
        <w:tc>
          <w:tcPr/>
          <w:p>
            <w:pPr>
              <w:pStyle w:val="Compact"/>
              <w:jc w:val="right"/>
            </w:pPr>
            <w:r>
              <w:t xml:space="preserve">30</w:t>
            </w:r>
          </w:p>
        </w:tc>
        <w:tc>
          <w:tcPr/>
          <w:p>
            <w:pPr>
              <w:pStyle w:val="Compact"/>
              <w:jc w:val="right"/>
            </w:pPr>
            <w:r>
              <w:t xml:space="preserve">3.78</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Fall</w:t>
            </w:r>
          </w:p>
        </w:tc>
        <w:tc>
          <w:tcPr/>
          <w:p>
            <w:pPr>
              <w:pStyle w:val="Compact"/>
              <w:jc w:val="right"/>
            </w:pPr>
            <w:r>
              <w:t xml:space="preserve">40</w:t>
            </w:r>
          </w:p>
        </w:tc>
        <w:tc>
          <w:tcPr/>
          <w:p>
            <w:pPr>
              <w:pStyle w:val="Compact"/>
              <w:jc w:val="right"/>
            </w:pPr>
            <w:r>
              <w:t xml:space="preserve">4.14</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Fall</w:t>
            </w:r>
          </w:p>
        </w:tc>
        <w:tc>
          <w:tcPr/>
          <w:p>
            <w:pPr>
              <w:pStyle w:val="Compact"/>
              <w:jc w:val="right"/>
            </w:pPr>
            <w:r>
              <w:t xml:space="preserve">50</w:t>
            </w:r>
          </w:p>
        </w:tc>
        <w:tc>
          <w:tcPr/>
          <w:p>
            <w:pPr>
              <w:pStyle w:val="Compact"/>
              <w:jc w:val="right"/>
            </w:pPr>
            <w:r>
              <w:t xml:space="preserve">4.39</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Fall</w:t>
            </w:r>
          </w:p>
        </w:tc>
        <w:tc>
          <w:tcPr/>
          <w:p>
            <w:pPr>
              <w:pStyle w:val="Compact"/>
              <w:jc w:val="right"/>
            </w:pPr>
            <w:r>
              <w:t xml:space="preserve">60</w:t>
            </w:r>
          </w:p>
        </w:tc>
        <w:tc>
          <w:tcPr/>
          <w:p>
            <w:pPr>
              <w:pStyle w:val="Compact"/>
              <w:jc w:val="right"/>
            </w:pPr>
            <w:r>
              <w:t xml:space="preserve">4.57</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Fall</w:t>
            </w:r>
          </w:p>
        </w:tc>
        <w:tc>
          <w:tcPr/>
          <w:p>
            <w:pPr>
              <w:pStyle w:val="Compact"/>
              <w:jc w:val="right"/>
            </w:pPr>
            <w:r>
              <w:t xml:space="preserve">70</w:t>
            </w:r>
          </w:p>
        </w:tc>
        <w:tc>
          <w:tcPr/>
          <w:p>
            <w:pPr>
              <w:pStyle w:val="Compact"/>
              <w:jc w:val="right"/>
            </w:pPr>
            <w:r>
              <w:t xml:space="preserve">4.72</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Fall</w:t>
            </w:r>
          </w:p>
        </w:tc>
        <w:tc>
          <w:tcPr/>
          <w:p>
            <w:pPr>
              <w:pStyle w:val="Compact"/>
              <w:jc w:val="right"/>
            </w:pPr>
            <w:r>
              <w:t xml:space="preserve">80</w:t>
            </w:r>
          </w:p>
        </w:tc>
        <w:tc>
          <w:tcPr/>
          <w:p>
            <w:pPr>
              <w:pStyle w:val="Compact"/>
              <w:jc w:val="right"/>
            </w:pPr>
            <w:r>
              <w:t xml:space="preserve">4.84</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Fall</w:t>
            </w:r>
          </w:p>
        </w:tc>
        <w:tc>
          <w:tcPr/>
          <w:p>
            <w:pPr>
              <w:pStyle w:val="Compact"/>
              <w:jc w:val="right"/>
            </w:pPr>
            <w:r>
              <w:t xml:space="preserve">90</w:t>
            </w:r>
          </w:p>
        </w:tc>
        <w:tc>
          <w:tcPr/>
          <w:p>
            <w:pPr>
              <w:pStyle w:val="Compact"/>
              <w:jc w:val="right"/>
            </w:pPr>
            <w:r>
              <w:t xml:space="preserve">4.93</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Spring</w:t>
            </w:r>
          </w:p>
        </w:tc>
        <w:tc>
          <w:tcPr/>
          <w:p>
            <w:pPr>
              <w:pStyle w:val="Compact"/>
              <w:jc w:val="right"/>
            </w:pPr>
            <w:r>
              <w:t xml:space="preserve">10</w:t>
            </w:r>
          </w:p>
        </w:tc>
        <w:tc>
          <w:tcPr/>
          <w:p>
            <w:pPr>
              <w:pStyle w:val="Compact"/>
              <w:jc w:val="right"/>
            </w:pPr>
            <w:r>
              <w:t xml:space="preserve">2.05</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Spring</w:t>
            </w:r>
          </w:p>
        </w:tc>
        <w:tc>
          <w:tcPr/>
          <w:p>
            <w:pPr>
              <w:pStyle w:val="Compact"/>
              <w:jc w:val="right"/>
            </w:pPr>
            <w:r>
              <w:t xml:space="preserve">20</w:t>
            </w:r>
          </w:p>
        </w:tc>
        <w:tc>
          <w:tcPr/>
          <w:p>
            <w:pPr>
              <w:pStyle w:val="Compact"/>
              <w:jc w:val="right"/>
            </w:pPr>
            <w:r>
              <w:t xml:space="preserve">2.98</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Spring</w:t>
            </w:r>
          </w:p>
        </w:tc>
        <w:tc>
          <w:tcPr/>
          <w:p>
            <w:pPr>
              <w:pStyle w:val="Compact"/>
              <w:jc w:val="right"/>
            </w:pPr>
            <w:r>
              <w:t xml:space="preserve">30</w:t>
            </w:r>
          </w:p>
        </w:tc>
        <w:tc>
          <w:tcPr/>
          <w:p>
            <w:pPr>
              <w:pStyle w:val="Compact"/>
              <w:jc w:val="right"/>
            </w:pPr>
            <w:r>
              <w:t xml:space="preserve">3.49</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Spring</w:t>
            </w:r>
          </w:p>
        </w:tc>
        <w:tc>
          <w:tcPr/>
          <w:p>
            <w:pPr>
              <w:pStyle w:val="Compact"/>
              <w:jc w:val="right"/>
            </w:pPr>
            <w:r>
              <w:t xml:space="preserve">40</w:t>
            </w:r>
          </w:p>
        </w:tc>
        <w:tc>
          <w:tcPr/>
          <w:p>
            <w:pPr>
              <w:pStyle w:val="Compact"/>
              <w:jc w:val="right"/>
            </w:pPr>
            <w:r>
              <w:t xml:space="preserve">3.83</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Spring</w:t>
            </w:r>
          </w:p>
        </w:tc>
        <w:tc>
          <w:tcPr/>
          <w:p>
            <w:pPr>
              <w:pStyle w:val="Compact"/>
              <w:jc w:val="right"/>
            </w:pPr>
            <w:r>
              <w:t xml:space="preserve">50</w:t>
            </w:r>
          </w:p>
        </w:tc>
        <w:tc>
          <w:tcPr/>
          <w:p>
            <w:pPr>
              <w:pStyle w:val="Compact"/>
              <w:jc w:val="right"/>
            </w:pPr>
            <w:r>
              <w:t xml:space="preserve">4.06</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Spring</w:t>
            </w:r>
          </w:p>
        </w:tc>
        <w:tc>
          <w:tcPr/>
          <w:p>
            <w:pPr>
              <w:pStyle w:val="Compact"/>
              <w:jc w:val="right"/>
            </w:pPr>
            <w:r>
              <w:t xml:space="preserve">60</w:t>
            </w:r>
          </w:p>
        </w:tc>
        <w:tc>
          <w:tcPr/>
          <w:p>
            <w:pPr>
              <w:pStyle w:val="Compact"/>
              <w:jc w:val="right"/>
            </w:pPr>
            <w:r>
              <w:t xml:space="preserve">4.24</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Spring</w:t>
            </w:r>
          </w:p>
        </w:tc>
        <w:tc>
          <w:tcPr/>
          <w:p>
            <w:pPr>
              <w:pStyle w:val="Compact"/>
              <w:jc w:val="right"/>
            </w:pPr>
            <w:r>
              <w:t xml:space="preserve">70</w:t>
            </w:r>
          </w:p>
        </w:tc>
        <w:tc>
          <w:tcPr/>
          <w:p>
            <w:pPr>
              <w:pStyle w:val="Compact"/>
              <w:jc w:val="right"/>
            </w:pPr>
            <w:r>
              <w:t xml:space="preserve">4.37</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Spring</w:t>
            </w:r>
          </w:p>
        </w:tc>
        <w:tc>
          <w:tcPr/>
          <w:p>
            <w:pPr>
              <w:pStyle w:val="Compact"/>
              <w:jc w:val="right"/>
            </w:pPr>
            <w:r>
              <w:t xml:space="preserve">80</w:t>
            </w:r>
          </w:p>
        </w:tc>
        <w:tc>
          <w:tcPr/>
          <w:p>
            <w:pPr>
              <w:pStyle w:val="Compact"/>
              <w:jc w:val="right"/>
            </w:pPr>
            <w:r>
              <w:t xml:space="preserve">4.48</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Spring</w:t>
            </w:r>
          </w:p>
        </w:tc>
        <w:tc>
          <w:tcPr/>
          <w:p>
            <w:pPr>
              <w:pStyle w:val="Compact"/>
              <w:jc w:val="right"/>
            </w:pPr>
            <w:r>
              <w:t xml:space="preserve">90</w:t>
            </w:r>
          </w:p>
        </w:tc>
        <w:tc>
          <w:tcPr/>
          <w:p>
            <w:pPr>
              <w:pStyle w:val="Compact"/>
              <w:jc w:val="right"/>
            </w:pPr>
            <w:r>
              <w:t xml:space="preserve">4.56</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5"/>
    <w:bookmarkStart w:id="94" w:name="figures"/>
    <w:p>
      <w:pPr>
        <w:pStyle w:val="Heading1"/>
      </w:pPr>
      <w:r>
        <w:t xml:space="preserve">Figures</w:t>
      </w:r>
    </w:p>
    <w:bookmarkStart w:id="86" w:name="figures"/>
    <w:bookmarkEnd w:id="86"/>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7"/>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 title="" id="1" name="Picture"/>
            <a:graphic>
              <a:graphicData uri="http://schemas.openxmlformats.org/drawingml/2006/picture">
                <pic:pic>
                  <pic:nvPicPr>
                    <pic:cNvPr descr="../figures/abund-fig-1.png" id="0" name="Picture"/>
                    <pic:cNvPicPr>
                      <a:picLocks noChangeArrowheads="1" noChangeAspect="1"/>
                    </pic:cNvPicPr>
                  </pic:nvPicPr>
                  <pic:blipFill>
                    <a:blip r:embed="rId8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9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9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9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93" w:name="colophon"/>
    <w:p>
      <w:pPr>
        <w:pStyle w:val="Heading3"/>
      </w:pPr>
      <w:r>
        <w:t xml:space="preserve">Colophon</w:t>
      </w:r>
    </w:p>
    <w:p>
      <w:pPr>
        <w:pStyle w:val="FirstParagraph"/>
      </w:pPr>
      <w:r>
        <w:t xml:space="preserve">This report was generated on 2021-12-30 12:33:13 using the following computational environment and dependencies:</w:t>
      </w:r>
    </w:p>
    <w:p>
      <w:pPr>
        <w:pStyle w:val="SourceCode"/>
      </w:pPr>
      <w:r>
        <w:rPr>
          <w:rStyle w:val="VerbatimChar"/>
        </w:rPr>
        <w:t xml:space="preserve">#&gt; - Session info  --------------------------------------------------------------</w:t>
      </w:r>
      <w:r>
        <w:br/>
      </w:r>
      <w:r>
        <w:rPr>
          <w:rStyle w:val="VerbatimChar"/>
        </w:rPr>
        <w:t xml:space="preserve">#&gt;  hash: Statue of Liberty, camping, heart with arrow</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2021-12-30</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[6ddb96f] 2021-12-30: TB Discussion edits</w:t>
      </w:r>
    </w:p>
    <w:bookmarkEnd w:id="93"/>
    <w:bookmarkEnd w:id="94"/>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hyperlink" Id="rId36" Target="https://www.audubon.org/important-bird-areas/deadwater-slough#" TargetMode="External" /><Relationship Type="http://schemas.openxmlformats.org/officeDocument/2006/relationships/hyperlink" Id="rId37"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6" Target="https://www.audubon.org/important-bird-areas/deadwater-slough#" TargetMode="External" /><Relationship Type="http://schemas.openxmlformats.org/officeDocument/2006/relationships/hyperlink" Id="rId37"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2021-12-30T19:33:16Z</dcterms:created>
  <dcterms:modified xsi:type="dcterms:W3CDTF">2021-12-30T19:33:16Z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30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